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06" w:rsidRDefault="00B74106">
      <w:pPr>
        <w:jc w:val="center"/>
        <w:rPr>
          <w:b/>
          <w:sz w:val="40"/>
          <w:szCs w:val="40"/>
        </w:rPr>
      </w:pPr>
    </w:p>
    <w:p w:rsidR="00B74106" w:rsidRDefault="00B74106">
      <w:pPr>
        <w:jc w:val="center"/>
        <w:rPr>
          <w:b/>
          <w:sz w:val="40"/>
          <w:szCs w:val="40"/>
        </w:rPr>
      </w:pPr>
    </w:p>
    <w:p w:rsidR="00B74106" w:rsidRDefault="00B2620C">
      <w:pPr>
        <w:jc w:val="center"/>
        <w:rPr>
          <w:b/>
          <w:sz w:val="50"/>
          <w:szCs w:val="40"/>
        </w:rPr>
      </w:pPr>
      <w:r>
        <w:rPr>
          <w:b/>
          <w:sz w:val="50"/>
          <w:szCs w:val="40"/>
        </w:rPr>
        <w:t xml:space="preserve">MU2 Gap Analysis for 3 features in </w:t>
      </w:r>
      <w:proofErr w:type="spellStart"/>
      <w:r>
        <w:rPr>
          <w:b/>
          <w:sz w:val="50"/>
          <w:szCs w:val="40"/>
        </w:rPr>
        <w:t>OpenEMR</w:t>
      </w:r>
      <w:proofErr w:type="spellEnd"/>
      <w:r>
        <w:rPr>
          <w:b/>
          <w:sz w:val="50"/>
          <w:szCs w:val="40"/>
        </w:rPr>
        <w:t xml:space="preserve"> </w:t>
      </w:r>
    </w:p>
    <w:p w:rsidR="00B74106" w:rsidRDefault="00B74106">
      <w:pPr>
        <w:jc w:val="center"/>
        <w:rPr>
          <w:b/>
          <w:sz w:val="40"/>
          <w:szCs w:val="40"/>
        </w:rPr>
      </w:pPr>
    </w:p>
    <w:p w:rsidR="00B74106" w:rsidRDefault="00B74106">
      <w:pPr>
        <w:jc w:val="center"/>
        <w:rPr>
          <w:b/>
          <w:sz w:val="40"/>
          <w:szCs w:val="40"/>
        </w:rPr>
      </w:pPr>
    </w:p>
    <w:p w:rsidR="00B74106" w:rsidRDefault="00B74106">
      <w:pPr>
        <w:jc w:val="center"/>
        <w:rPr>
          <w:b/>
          <w:sz w:val="40"/>
          <w:szCs w:val="40"/>
        </w:rPr>
      </w:pPr>
    </w:p>
    <w:p w:rsidR="00B74106" w:rsidRDefault="00B74106">
      <w:pPr>
        <w:jc w:val="center"/>
        <w:rPr>
          <w:b/>
          <w:sz w:val="40"/>
          <w:szCs w:val="40"/>
        </w:rPr>
      </w:pPr>
    </w:p>
    <w:p w:rsidR="00B74106" w:rsidRDefault="00B262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7" type="#_x0000_t75" style="position:absolute;left:0;text-align:left;margin-left:0;margin-top:0;width:138.75pt;height:75.9pt;z-index:-1;mso-position-horizontal:center;mso-position-horizontal-relative:margin;mso-position-vertical:center;mso-position-vertical-relative:margin">
            <v:imagedata r:id="rId9" o:title=""/>
            <w10:wrap anchorx="margin" anchory="margin"/>
          </v:shape>
        </w:pict>
      </w:r>
    </w:p>
    <w:p w:rsidR="00B74106" w:rsidRDefault="00B74106">
      <w:pPr>
        <w:jc w:val="center"/>
        <w:rPr>
          <w:b/>
          <w:sz w:val="40"/>
          <w:szCs w:val="40"/>
        </w:rPr>
      </w:pPr>
    </w:p>
    <w:p w:rsidR="00B74106" w:rsidRDefault="00B74106">
      <w:pPr>
        <w:jc w:val="center"/>
        <w:rPr>
          <w:b/>
          <w:sz w:val="40"/>
          <w:szCs w:val="40"/>
        </w:rPr>
      </w:pPr>
    </w:p>
    <w:p w:rsidR="00B74106" w:rsidRDefault="00B74106">
      <w:pPr>
        <w:jc w:val="center"/>
        <w:rPr>
          <w:b/>
          <w:sz w:val="40"/>
          <w:szCs w:val="40"/>
        </w:rPr>
      </w:pPr>
    </w:p>
    <w:p w:rsidR="00B74106" w:rsidRDefault="00B2620C">
      <w:pPr>
        <w:spacing w:after="0" w:line="240" w:lineRule="auto"/>
        <w:jc w:val="center"/>
        <w:rPr>
          <w:b/>
          <w:sz w:val="26"/>
          <w:szCs w:val="40"/>
        </w:rPr>
      </w:pPr>
      <w:r>
        <w:rPr>
          <w:b/>
          <w:sz w:val="26"/>
          <w:szCs w:val="40"/>
        </w:rPr>
        <w:t>Version 1.0</w:t>
      </w:r>
    </w:p>
    <w:p w:rsidR="00B74106" w:rsidRDefault="00B74106">
      <w:pPr>
        <w:spacing w:after="0" w:line="240" w:lineRule="auto"/>
        <w:jc w:val="center"/>
        <w:rPr>
          <w:b/>
          <w:sz w:val="40"/>
          <w:szCs w:val="40"/>
        </w:rPr>
      </w:pPr>
    </w:p>
    <w:p w:rsidR="00B74106" w:rsidRDefault="00B74106">
      <w:pPr>
        <w:spacing w:after="0" w:line="240" w:lineRule="auto"/>
        <w:jc w:val="center"/>
        <w:rPr>
          <w:b/>
          <w:sz w:val="26"/>
          <w:szCs w:val="40"/>
        </w:rPr>
      </w:pPr>
    </w:p>
    <w:p w:rsidR="00B74106" w:rsidRDefault="00B74106">
      <w:pPr>
        <w:spacing w:after="0" w:line="240" w:lineRule="auto"/>
        <w:jc w:val="center"/>
        <w:rPr>
          <w:b/>
          <w:sz w:val="26"/>
          <w:szCs w:val="40"/>
        </w:rPr>
      </w:pPr>
    </w:p>
    <w:p w:rsidR="00B74106" w:rsidRDefault="00B74106">
      <w:pPr>
        <w:spacing w:after="0" w:line="240" w:lineRule="auto"/>
        <w:jc w:val="center"/>
        <w:rPr>
          <w:b/>
          <w:sz w:val="26"/>
          <w:szCs w:val="40"/>
        </w:rPr>
      </w:pPr>
    </w:p>
    <w:p w:rsidR="00B74106" w:rsidRDefault="00B74106">
      <w:pPr>
        <w:spacing w:after="0" w:line="240" w:lineRule="auto"/>
        <w:jc w:val="center"/>
        <w:rPr>
          <w:b/>
          <w:sz w:val="26"/>
          <w:szCs w:val="40"/>
        </w:rPr>
      </w:pPr>
    </w:p>
    <w:p w:rsidR="00B74106" w:rsidRDefault="00B2620C">
      <w:pPr>
        <w:spacing w:after="0" w:line="240" w:lineRule="auto"/>
        <w:jc w:val="center"/>
        <w:rPr>
          <w:sz w:val="26"/>
          <w:szCs w:val="40"/>
        </w:rPr>
      </w:pPr>
      <w:r>
        <w:rPr>
          <w:sz w:val="26"/>
          <w:szCs w:val="40"/>
        </w:rPr>
        <w:t>Prepared by</w:t>
      </w:r>
    </w:p>
    <w:p w:rsidR="00B74106" w:rsidRDefault="00B2620C">
      <w:pPr>
        <w:spacing w:after="0" w:line="240" w:lineRule="auto"/>
        <w:jc w:val="center"/>
        <w:rPr>
          <w:sz w:val="26"/>
          <w:szCs w:val="40"/>
        </w:rPr>
      </w:pPr>
      <w:r>
        <w:rPr>
          <w:sz w:val="26"/>
          <w:szCs w:val="40"/>
        </w:rPr>
        <w:t>ViSolve Inc.,</w:t>
      </w:r>
    </w:p>
    <w:p w:rsidR="00B74106" w:rsidRDefault="00B2620C">
      <w:pPr>
        <w:spacing w:after="0" w:line="240" w:lineRule="auto"/>
        <w:jc w:val="center"/>
        <w:rPr>
          <w:sz w:val="26"/>
          <w:szCs w:val="40"/>
        </w:rPr>
      </w:pPr>
      <w:r>
        <w:rPr>
          <w:sz w:val="26"/>
          <w:szCs w:val="40"/>
        </w:rPr>
        <w:t xml:space="preserve">6559, </w:t>
      </w:r>
      <w:proofErr w:type="spellStart"/>
      <w:r>
        <w:rPr>
          <w:sz w:val="26"/>
          <w:szCs w:val="40"/>
        </w:rPr>
        <w:t>Springpath</w:t>
      </w:r>
      <w:proofErr w:type="spellEnd"/>
      <w:r>
        <w:rPr>
          <w:sz w:val="26"/>
          <w:szCs w:val="40"/>
        </w:rPr>
        <w:t xml:space="preserve"> lane, San Jose, California 95120, USA</w:t>
      </w:r>
    </w:p>
    <w:p w:rsidR="00B74106" w:rsidRDefault="00B2620C">
      <w:pPr>
        <w:spacing w:after="0" w:line="240" w:lineRule="auto"/>
        <w:jc w:val="center"/>
        <w:rPr>
          <w:sz w:val="26"/>
          <w:szCs w:val="40"/>
        </w:rPr>
      </w:pPr>
      <w:r>
        <w:rPr>
          <w:sz w:val="26"/>
          <w:szCs w:val="40"/>
        </w:rPr>
        <w:t xml:space="preserve">Email: </w:t>
      </w:r>
      <w:hyperlink r:id="rId10" w:history="1">
        <w:r>
          <w:rPr>
            <w:rStyle w:val="Hyperlink"/>
            <w:sz w:val="26"/>
            <w:szCs w:val="40"/>
          </w:rPr>
          <w:t>openemr.support@visolve.com</w:t>
        </w:r>
      </w:hyperlink>
    </w:p>
    <w:p w:rsidR="00B74106" w:rsidRDefault="00B74106">
      <w:pPr>
        <w:spacing w:after="0" w:line="240" w:lineRule="auto"/>
        <w:jc w:val="center"/>
        <w:rPr>
          <w:sz w:val="26"/>
          <w:szCs w:val="40"/>
        </w:rPr>
      </w:pPr>
    </w:p>
    <w:p w:rsidR="00B74106" w:rsidRDefault="00B74106">
      <w:pPr>
        <w:spacing w:after="0" w:line="240" w:lineRule="auto"/>
        <w:jc w:val="center"/>
        <w:rPr>
          <w:sz w:val="26"/>
          <w:szCs w:val="40"/>
        </w:rPr>
      </w:pPr>
    </w:p>
    <w:p w:rsidR="00AF1362" w:rsidRPr="008C689A" w:rsidRDefault="00AF1362">
      <w:pPr>
        <w:pStyle w:val="TOCHeading"/>
        <w:rPr>
          <w:b/>
        </w:rPr>
      </w:pPr>
      <w:r w:rsidRPr="008C689A">
        <w:rPr>
          <w:b/>
        </w:rPr>
        <w:t>Table of Contents</w:t>
      </w:r>
    </w:p>
    <w:p w:rsidR="00AF1362" w:rsidRPr="00AF1362" w:rsidRDefault="00AF1362">
      <w:pPr>
        <w:pStyle w:val="TOC1"/>
        <w:tabs>
          <w:tab w:val="right" w:leader="dot" w:pos="9350"/>
        </w:tabs>
        <w:rPr>
          <w:rFonts w:eastAsia="Times New Roman"/>
          <w:noProof/>
          <w:lang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8830102" w:history="1">
        <w:r w:rsidRPr="00991728">
          <w:rPr>
            <w:rStyle w:val="Hyperlink"/>
            <w:noProof/>
          </w:rPr>
          <w:t>Objective: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_Toc448830102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F1362" w:rsidRPr="00AF1362" w:rsidRDefault="00AF1362">
      <w:pPr>
        <w:pStyle w:val="TOC1"/>
        <w:tabs>
          <w:tab w:val="right" w:leader="dot" w:pos="9350"/>
        </w:tabs>
        <w:rPr>
          <w:rFonts w:eastAsia="Times New Roman"/>
          <w:noProof/>
          <w:lang w:eastAsia="en-US"/>
        </w:rPr>
      </w:pPr>
      <w:hyperlink w:anchor="_Toc448830103" w:history="1">
        <w:r w:rsidRPr="00991728">
          <w:rPr>
            <w:rStyle w:val="Hyperlink"/>
            <w:noProof/>
          </w:rPr>
          <w:t>Gap Analysis: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_Toc448830103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F1362" w:rsidRPr="00AF1362" w:rsidRDefault="00AF1362">
      <w:pPr>
        <w:pStyle w:val="TOC2"/>
        <w:tabs>
          <w:tab w:val="right" w:leader="dot" w:pos="9350"/>
        </w:tabs>
        <w:ind w:left="440"/>
        <w:rPr>
          <w:rFonts w:eastAsia="Times New Roman"/>
          <w:noProof/>
          <w:lang w:eastAsia="en-US"/>
        </w:rPr>
      </w:pPr>
      <w:hyperlink w:anchor="_Toc448830104" w:history="1">
        <w:r w:rsidRPr="00991728">
          <w:rPr>
            <w:rStyle w:val="Hyperlink"/>
            <w:noProof/>
          </w:rPr>
          <w:t>170.314 (a) (8) – Clinical Decision Support: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_Toc448830104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F1362" w:rsidRPr="00AF1362" w:rsidRDefault="00AF1362">
      <w:pPr>
        <w:pStyle w:val="TOC2"/>
        <w:tabs>
          <w:tab w:val="right" w:leader="dot" w:pos="9350"/>
        </w:tabs>
        <w:ind w:left="440"/>
        <w:rPr>
          <w:rFonts w:eastAsia="Times New Roman"/>
          <w:noProof/>
          <w:lang w:eastAsia="en-US"/>
        </w:rPr>
      </w:pPr>
      <w:hyperlink w:anchor="_Toc448830105" w:history="1">
        <w:r w:rsidRPr="00991728">
          <w:rPr>
            <w:rStyle w:val="Hyperlink"/>
            <w:noProof/>
          </w:rPr>
          <w:t>170.314(c) (1), 170.314(c) (3) – Clinical Quality Measures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_Toc448830105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F1362" w:rsidRPr="00AF1362" w:rsidRDefault="00AF1362">
      <w:pPr>
        <w:pStyle w:val="TOC2"/>
        <w:tabs>
          <w:tab w:val="right" w:leader="dot" w:pos="9350"/>
        </w:tabs>
        <w:ind w:left="440"/>
        <w:rPr>
          <w:rFonts w:eastAsia="Times New Roman"/>
          <w:noProof/>
          <w:lang w:eastAsia="en-US"/>
        </w:rPr>
      </w:pPr>
      <w:hyperlink w:anchor="_Toc448830106" w:history="1">
        <w:r w:rsidRPr="00991728">
          <w:rPr>
            <w:rStyle w:val="Hyperlink"/>
            <w:noProof/>
          </w:rPr>
          <w:t>170.314(g) (2) – Automated Measure Calculation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_Toc448830106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F1362" w:rsidRDefault="00AF1362">
      <w:r>
        <w:rPr>
          <w:b/>
          <w:bCs/>
          <w:noProof/>
        </w:rPr>
        <w:fldChar w:fldCharType="end"/>
      </w:r>
    </w:p>
    <w:p w:rsidR="00B74106" w:rsidRDefault="00B74106"/>
    <w:p w:rsidR="00B74106" w:rsidRDefault="00B2620C">
      <w:r>
        <w:br w:type="page"/>
      </w:r>
    </w:p>
    <w:p w:rsidR="00B74106" w:rsidRDefault="00B2620C">
      <w:pPr>
        <w:pStyle w:val="Heading1"/>
      </w:pPr>
      <w:bookmarkStart w:id="0" w:name="_Toc27346"/>
      <w:bookmarkStart w:id="1" w:name="_Toc448830102"/>
      <w:r>
        <w:t>Objective:</w:t>
      </w:r>
      <w:bookmarkEnd w:id="0"/>
      <w:bookmarkEnd w:id="1"/>
    </w:p>
    <w:p w:rsidR="00B74106" w:rsidRDefault="00B2620C">
      <w:r>
        <w:t xml:space="preserve">ViSolve </w:t>
      </w:r>
      <w:r w:rsidR="00173CC6">
        <w:t>performed MU2</w:t>
      </w:r>
      <w:r>
        <w:t xml:space="preserve"> gap analysis against 3 features in </w:t>
      </w:r>
      <w:proofErr w:type="spellStart"/>
      <w:r>
        <w:t>OpenEMR</w:t>
      </w:r>
      <w:proofErr w:type="spellEnd"/>
      <w:r>
        <w:t xml:space="preserve"> </w:t>
      </w:r>
      <w:r>
        <w:t>(Current development version) which are listed below:</w:t>
      </w:r>
    </w:p>
    <w:p w:rsidR="00B74106" w:rsidRDefault="00B2620C">
      <w:r>
        <w:t>170.314 (a) (8) – Clinical Decision Support</w:t>
      </w:r>
    </w:p>
    <w:p w:rsidR="00B74106" w:rsidRDefault="00B2620C">
      <w:r>
        <w:t>170.314(c) (1), 170.314(c) (3) – Clinical Quality Measures</w:t>
      </w:r>
    </w:p>
    <w:p w:rsidR="00B74106" w:rsidRDefault="00B2620C">
      <w:r>
        <w:t>170.314(g) (2) – Automated Measure Calculation</w:t>
      </w:r>
    </w:p>
    <w:p w:rsidR="00B74106" w:rsidRDefault="00B2620C" w:rsidP="00DF1F8C">
      <w:pPr>
        <w:pStyle w:val="Heading1"/>
      </w:pPr>
      <w:bookmarkStart w:id="2" w:name="_Toc448830103"/>
      <w:r>
        <w:t>Gap Analysis:</w:t>
      </w:r>
      <w:bookmarkEnd w:id="2"/>
    </w:p>
    <w:p w:rsidR="00B74106" w:rsidRDefault="00B2620C">
      <w:pPr>
        <w:pStyle w:val="Heading2"/>
      </w:pPr>
      <w:bookmarkStart w:id="3" w:name="_Toc32748"/>
      <w:bookmarkStart w:id="4" w:name="_Toc448830104"/>
      <w:r>
        <w:t>170.314 (a) (8) – Clinical Decision Su</w:t>
      </w:r>
      <w:r>
        <w:t>pport:</w:t>
      </w:r>
      <w:bookmarkEnd w:id="3"/>
      <w:bookmarkEnd w:id="4"/>
    </w:p>
    <w:p w:rsidR="00AF1362" w:rsidRPr="00AF1362" w:rsidRDefault="00AF1362" w:rsidP="00AF1362"/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7"/>
        <w:gridCol w:w="3486"/>
        <w:gridCol w:w="3487"/>
      </w:tblGrid>
      <w:tr w:rsidR="00B7410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487" w:type="dxa"/>
          </w:tcPr>
          <w:p w:rsidR="00B74106" w:rsidRDefault="00B2620C">
            <w:pPr>
              <w:rPr>
                <w:b/>
                <w:bCs/>
              </w:rPr>
            </w:pPr>
            <w:r>
              <w:rPr>
                <w:b/>
                <w:bCs/>
              </w:rPr>
              <w:t>Test procedure</w:t>
            </w:r>
          </w:p>
        </w:tc>
        <w:tc>
          <w:tcPr>
            <w:tcW w:w="3486" w:type="dxa"/>
          </w:tcPr>
          <w:p w:rsidR="00B74106" w:rsidRDefault="00B2620C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3487" w:type="dxa"/>
          </w:tcPr>
          <w:p w:rsidR="00B74106" w:rsidRDefault="00B2620C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74106">
        <w:tblPrEx>
          <w:tblCellMar>
            <w:top w:w="0" w:type="dxa"/>
            <w:bottom w:w="0" w:type="dxa"/>
          </w:tblCellMar>
        </w:tblPrEx>
        <w:trPr>
          <w:trHeight w:val="1572"/>
        </w:trPr>
        <w:tc>
          <w:tcPr>
            <w:tcW w:w="3487" w:type="dxa"/>
          </w:tcPr>
          <w:p w:rsidR="00B74106" w:rsidRDefault="00B2620C"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>
              <w:t>Evidence-based decision support interventions</w:t>
            </w:r>
          </w:p>
        </w:tc>
        <w:tc>
          <w:tcPr>
            <w:tcW w:w="3486" w:type="dxa"/>
          </w:tcPr>
          <w:p w:rsidR="00B74106" w:rsidRDefault="00B2620C">
            <w:r>
              <w:rPr>
                <w:b/>
                <w:bCs/>
                <w:color w:val="FF0000"/>
              </w:rPr>
              <w:t>FAIL</w:t>
            </w:r>
          </w:p>
        </w:tc>
        <w:tc>
          <w:tcPr>
            <w:tcW w:w="3487" w:type="dxa"/>
          </w:tcPr>
          <w:p w:rsidR="00B74106" w:rsidRDefault="00B2620C">
            <w:r>
              <w:t>Couldn</w:t>
            </w:r>
            <w:r>
              <w:t xml:space="preserve">’t enable clinical decision rule based on Lab test results and combination of any two criteria (problem list, medication, allergies, vitals, demographics </w:t>
            </w:r>
            <w:r>
              <w:t>and lab results)</w:t>
            </w:r>
          </w:p>
        </w:tc>
      </w:tr>
      <w:tr w:rsidR="00B7410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487" w:type="dxa"/>
          </w:tcPr>
          <w:p w:rsidR="00B74106" w:rsidRDefault="00B2620C">
            <w:r>
              <w:t xml:space="preserve">(ii) </w:t>
            </w:r>
            <w:r>
              <w:t>Linked referential clinical decision support</w:t>
            </w:r>
          </w:p>
        </w:tc>
        <w:tc>
          <w:tcPr>
            <w:tcW w:w="3486" w:type="dxa"/>
          </w:tcPr>
          <w:p w:rsidR="00B74106" w:rsidRDefault="00B2620C">
            <w:r>
              <w:rPr>
                <w:b/>
                <w:bCs/>
                <w:color w:val="008000"/>
              </w:rPr>
              <w:t>PASS</w:t>
            </w:r>
          </w:p>
        </w:tc>
        <w:tc>
          <w:tcPr>
            <w:tcW w:w="3487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487" w:type="dxa"/>
          </w:tcPr>
          <w:p w:rsidR="00B74106" w:rsidRDefault="00B2620C">
            <w:r>
              <w:t xml:space="preserve">(iii) </w:t>
            </w:r>
            <w:r>
              <w:t>Clinical decision support configuration</w:t>
            </w:r>
          </w:p>
        </w:tc>
        <w:tc>
          <w:tcPr>
            <w:tcW w:w="3486" w:type="dxa"/>
          </w:tcPr>
          <w:p w:rsidR="00B74106" w:rsidRDefault="00B2620C">
            <w:r>
              <w:rPr>
                <w:b/>
                <w:bCs/>
                <w:color w:val="008000"/>
              </w:rPr>
              <w:t>PASS</w:t>
            </w:r>
          </w:p>
        </w:tc>
        <w:tc>
          <w:tcPr>
            <w:tcW w:w="3487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87" w:type="dxa"/>
          </w:tcPr>
          <w:p w:rsidR="00B74106" w:rsidRDefault="00B2620C">
            <w:r>
              <w:t xml:space="preserve">(iii) </w:t>
            </w:r>
            <w:r>
              <w:t>Clinical decision support configuration - (b)(2),(b)(3)</w:t>
            </w:r>
          </w:p>
        </w:tc>
        <w:tc>
          <w:tcPr>
            <w:tcW w:w="3486" w:type="dxa"/>
          </w:tcPr>
          <w:p w:rsidR="00B74106" w:rsidRDefault="00B2620C">
            <w:r w:rsidRPr="00B2620C">
              <w:rPr>
                <w:b/>
                <w:color w:val="F79646"/>
              </w:rPr>
              <w:t>Couldn</w:t>
            </w:r>
            <w:r w:rsidRPr="00B2620C">
              <w:rPr>
                <w:b/>
                <w:color w:val="F79646"/>
              </w:rPr>
              <w:t>’t validate</w:t>
            </w:r>
            <w:r>
              <w:t xml:space="preserve"> due to unavailability of test instance with lab </w:t>
            </w:r>
            <w:r>
              <w:t>incorporation and CCDA feature</w:t>
            </w:r>
          </w:p>
        </w:tc>
        <w:tc>
          <w:tcPr>
            <w:tcW w:w="3487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487" w:type="dxa"/>
          </w:tcPr>
          <w:p w:rsidR="00B74106" w:rsidRDefault="00B2620C">
            <w:pPr>
              <w:autoSpaceDN w:val="0"/>
              <w:spacing w:beforeAutospacing="1" w:afterAutospacing="1"/>
              <w:rPr>
                <w:rFonts w:ascii="sans-serif" w:hAnsi="SimSun"/>
                <w:sz w:val="24"/>
              </w:rPr>
            </w:pPr>
            <w:r>
              <w:t xml:space="preserve">(iv) </w:t>
            </w:r>
            <w:r>
              <w:t>Automatically and electronically interact</w:t>
            </w:r>
          </w:p>
          <w:p w:rsidR="00B74106" w:rsidRDefault="00B74106"/>
        </w:tc>
        <w:tc>
          <w:tcPr>
            <w:tcW w:w="3486" w:type="dxa"/>
          </w:tcPr>
          <w:p w:rsidR="00B74106" w:rsidRDefault="00B2620C">
            <w:r>
              <w:rPr>
                <w:b/>
                <w:bCs/>
                <w:color w:val="008000"/>
              </w:rPr>
              <w:t>PASS</w:t>
            </w:r>
          </w:p>
        </w:tc>
        <w:tc>
          <w:tcPr>
            <w:tcW w:w="3487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87" w:type="dxa"/>
          </w:tcPr>
          <w:p w:rsidR="00B74106" w:rsidRDefault="00B2620C">
            <w:r>
              <w:t>(v) Source Attributes - (A)</w:t>
            </w:r>
          </w:p>
        </w:tc>
        <w:tc>
          <w:tcPr>
            <w:tcW w:w="3486" w:type="dxa"/>
          </w:tcPr>
          <w:p w:rsidR="00B74106" w:rsidRDefault="00B2620C">
            <w:r>
              <w:rPr>
                <w:b/>
                <w:bCs/>
                <w:color w:val="008000"/>
              </w:rPr>
              <w:t>PASS</w:t>
            </w:r>
          </w:p>
        </w:tc>
        <w:tc>
          <w:tcPr>
            <w:tcW w:w="3487" w:type="dxa"/>
          </w:tcPr>
          <w:p w:rsidR="00B74106" w:rsidRDefault="00B74106"/>
          <w:p w:rsidR="00F21C99" w:rsidRDefault="00F21C99"/>
        </w:tc>
      </w:tr>
      <w:tr w:rsidR="00B7410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87" w:type="dxa"/>
          </w:tcPr>
          <w:p w:rsidR="00B74106" w:rsidRDefault="00B2620C">
            <w:r>
              <w:lastRenderedPageBreak/>
              <w:t>(v) Source Attributes - (B)</w:t>
            </w:r>
          </w:p>
        </w:tc>
        <w:tc>
          <w:tcPr>
            <w:tcW w:w="3486" w:type="dxa"/>
          </w:tcPr>
          <w:p w:rsidR="00B74106" w:rsidRDefault="00B2620C">
            <w:r w:rsidRPr="00B2620C">
              <w:rPr>
                <w:b/>
                <w:color w:val="F79646"/>
              </w:rPr>
              <w:t>Couldn</w:t>
            </w:r>
            <w:r w:rsidRPr="00B2620C">
              <w:rPr>
                <w:b/>
                <w:color w:val="F79646"/>
              </w:rPr>
              <w:t>’t validate</w:t>
            </w:r>
            <w:r>
              <w:t xml:space="preserve"> due to unavailability of test instance with New</w:t>
            </w:r>
            <w:r w:rsidR="000778D7">
              <w:t xml:space="preserve"> </w:t>
            </w:r>
            <w:r>
              <w:t>crop feature</w:t>
            </w:r>
          </w:p>
        </w:tc>
        <w:tc>
          <w:tcPr>
            <w:tcW w:w="3487" w:type="dxa"/>
          </w:tcPr>
          <w:p w:rsidR="00B74106" w:rsidRDefault="00B74106"/>
        </w:tc>
      </w:tr>
    </w:tbl>
    <w:p w:rsidR="00B74106" w:rsidRDefault="00B74106"/>
    <w:p w:rsidR="00B74106" w:rsidRDefault="00B2620C" w:rsidP="00DF1F8C">
      <w:pPr>
        <w:pStyle w:val="Heading2"/>
        <w:rPr>
          <w:rStyle w:val="Heading2Char"/>
          <w:b/>
          <w:bCs/>
        </w:rPr>
      </w:pPr>
      <w:bookmarkStart w:id="5" w:name="_Toc448830105"/>
      <w:r w:rsidRPr="00DF1F8C">
        <w:rPr>
          <w:rStyle w:val="Heading2Char"/>
          <w:b/>
          <w:bCs/>
        </w:rPr>
        <w:t xml:space="preserve">170.314(c) (1), </w:t>
      </w:r>
      <w:r w:rsidRPr="00DF1F8C">
        <w:rPr>
          <w:rStyle w:val="Heading2Char"/>
          <w:b/>
          <w:bCs/>
        </w:rPr>
        <w:t>170.314(c) (3) – Clinical Quality Measures</w:t>
      </w:r>
      <w:bookmarkEnd w:id="5"/>
    </w:p>
    <w:p w:rsidR="00AF1362" w:rsidRPr="00AF1362" w:rsidRDefault="00AF1362" w:rsidP="00AF1362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1500"/>
        <w:gridCol w:w="5636"/>
      </w:tblGrid>
      <w:tr w:rsidR="00B74106">
        <w:tblPrEx>
          <w:tblCellMar>
            <w:top w:w="0" w:type="dxa"/>
            <w:bottom w:w="0" w:type="dxa"/>
          </w:tblCellMar>
        </w:tblPrEx>
        <w:tc>
          <w:tcPr>
            <w:tcW w:w="2440" w:type="dxa"/>
          </w:tcPr>
          <w:p w:rsidR="00B74106" w:rsidRDefault="00B2620C">
            <w:pPr>
              <w:rPr>
                <w:rFonts w:ascii="Cambria" w:hAnsi="Cambria"/>
                <w:b/>
                <w:bCs/>
                <w:color w:val="365F90"/>
                <w:sz w:val="28"/>
                <w:szCs w:val="28"/>
              </w:rPr>
            </w:pPr>
            <w:r>
              <w:rPr>
                <w:b/>
                <w:bCs/>
              </w:rPr>
              <w:t>Test procedure</w:t>
            </w:r>
          </w:p>
        </w:tc>
        <w:tc>
          <w:tcPr>
            <w:tcW w:w="1500" w:type="dxa"/>
          </w:tcPr>
          <w:p w:rsidR="00B74106" w:rsidRDefault="00B2620C">
            <w:pPr>
              <w:rPr>
                <w:rFonts w:ascii="Cambria" w:hAnsi="Cambria"/>
                <w:b/>
                <w:bCs/>
                <w:color w:val="365F90"/>
                <w:sz w:val="28"/>
                <w:szCs w:val="28"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5636" w:type="dxa"/>
          </w:tcPr>
          <w:p w:rsidR="00B74106" w:rsidRDefault="00B2620C">
            <w:pPr>
              <w:rPr>
                <w:rFonts w:ascii="Cambria" w:hAnsi="Cambria"/>
                <w:b/>
                <w:bCs/>
                <w:color w:val="365F90"/>
                <w:sz w:val="28"/>
                <w:szCs w:val="28"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440" w:type="dxa"/>
          </w:tcPr>
          <w:p w:rsidR="00B74106" w:rsidRDefault="00B2620C">
            <w:pPr>
              <w:rPr>
                <w:rFonts w:ascii="Cambria" w:hAnsi="Cambria"/>
                <w:b/>
                <w:bCs/>
                <w:color w:val="365F90"/>
                <w:sz w:val="28"/>
                <w:szCs w:val="28"/>
              </w:rPr>
            </w:pPr>
            <w:r>
              <w:t>1. QRDA Cat III</w:t>
            </w:r>
          </w:p>
        </w:tc>
        <w:tc>
          <w:tcPr>
            <w:tcW w:w="1500" w:type="dxa"/>
          </w:tcPr>
          <w:p w:rsidR="00B74106" w:rsidRDefault="00B2620C">
            <w:pPr>
              <w:rPr>
                <w:rFonts w:ascii="Cambria" w:hAnsi="Cambria"/>
                <w:b/>
                <w:bCs/>
                <w:color w:val="365F90"/>
                <w:sz w:val="28"/>
                <w:szCs w:val="28"/>
              </w:rPr>
            </w:pPr>
            <w:r>
              <w:rPr>
                <w:b/>
                <w:bCs/>
                <w:color w:val="FF0000"/>
              </w:rPr>
              <w:t>FAIL</w:t>
            </w:r>
          </w:p>
        </w:tc>
        <w:tc>
          <w:tcPr>
            <w:tcW w:w="5636" w:type="dxa"/>
          </w:tcPr>
          <w:p w:rsidR="00B74106" w:rsidRDefault="00B2620C">
            <w:pPr>
              <w:rPr>
                <w:rFonts w:ascii="Cambria" w:hAnsi="Cambria"/>
                <w:b/>
                <w:bCs/>
                <w:color w:val="365F90"/>
                <w:sz w:val="28"/>
                <w:szCs w:val="28"/>
              </w:rPr>
            </w:pPr>
            <w:r>
              <w:t>129 errors (More likely supplemental data errors)</w:t>
            </w:r>
          </w:p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440" w:type="dxa"/>
          </w:tcPr>
          <w:p w:rsidR="00B74106" w:rsidRDefault="00B2620C">
            <w:pPr>
              <w:rPr>
                <w:rFonts w:ascii="Cambria" w:hAnsi="Cambria"/>
                <w:b/>
                <w:bCs/>
                <w:color w:val="365F90"/>
                <w:sz w:val="28"/>
                <w:szCs w:val="28"/>
              </w:rPr>
            </w:pPr>
            <w:r>
              <w:t>2. QRDA Cat I - 6 Measures</w:t>
            </w:r>
          </w:p>
        </w:tc>
        <w:tc>
          <w:tcPr>
            <w:tcW w:w="1500" w:type="dxa"/>
          </w:tcPr>
          <w:p w:rsidR="00B74106" w:rsidRDefault="00B2620C">
            <w:pPr>
              <w:rPr>
                <w:rFonts w:ascii="Cambria" w:hAnsi="Cambria"/>
                <w:color w:val="365F90"/>
                <w:sz w:val="28"/>
                <w:szCs w:val="28"/>
              </w:rPr>
            </w:pPr>
            <w:r>
              <w:rPr>
                <w:b/>
                <w:bCs/>
                <w:color w:val="FF0000"/>
              </w:rPr>
              <w:t>FAIL</w:t>
            </w:r>
          </w:p>
        </w:tc>
        <w:tc>
          <w:tcPr>
            <w:tcW w:w="5636" w:type="dxa"/>
          </w:tcPr>
          <w:p w:rsidR="00B74106" w:rsidRDefault="00B2620C">
            <w:pPr>
              <w:rPr>
                <w:rFonts w:ascii="Cambria" w:hAnsi="Cambria"/>
                <w:b/>
                <w:bCs/>
                <w:color w:val="365F90"/>
                <w:sz w:val="28"/>
                <w:szCs w:val="28"/>
              </w:rPr>
            </w:pPr>
            <w:r>
              <w:t xml:space="preserve">NQF 0421 - Adult Weight Screening and Follow up - </w:t>
            </w:r>
            <w:r>
              <w:rPr>
                <w:b/>
                <w:bCs/>
              </w:rPr>
              <w:t>100 errors</w:t>
            </w:r>
            <w:r>
              <w:rPr>
                <w:b/>
                <w:bCs/>
              </w:rPr>
              <w:br/>
            </w:r>
            <w:r>
              <w:t xml:space="preserve"> NQF 0038 Childhood immunization status - </w:t>
            </w:r>
            <w:r>
              <w:rPr>
                <w:b/>
                <w:bCs/>
              </w:rPr>
              <w:t>59 errors</w:t>
            </w:r>
            <w:r>
              <w:rPr>
                <w:b/>
                <w:bCs/>
              </w:rPr>
              <w:br/>
            </w:r>
            <w:r>
              <w:t xml:space="preserve"> NQF 0043 - Pneumonia Vaccination status - </w:t>
            </w:r>
            <w:r>
              <w:rPr>
                <w:b/>
                <w:bCs/>
              </w:rPr>
              <w:t>39 errors</w:t>
            </w:r>
            <w:r>
              <w:br/>
              <w:t xml:space="preserve"> NQF 0028 -  Tobacco Use: Screening and Cessation Intervention - </w:t>
            </w:r>
            <w:r>
              <w:rPr>
                <w:b/>
                <w:bCs/>
              </w:rPr>
              <w:t>98 errors</w:t>
            </w:r>
            <w:r>
              <w:br/>
              <w:t xml:space="preserve"> NQF 0024 - Weight Assessment and counseling - </w:t>
            </w:r>
            <w:r>
              <w:rPr>
                <w:b/>
                <w:bCs/>
              </w:rPr>
              <w:t>38 errors</w:t>
            </w:r>
            <w:r>
              <w:rPr>
                <w:b/>
                <w:bCs/>
              </w:rPr>
              <w:br/>
            </w:r>
            <w:r>
              <w:t xml:space="preserve"> NQF 0002 - Appropr</w:t>
            </w:r>
            <w:r>
              <w:t>iate Testing for Children with Pharyngitis --Couldn't download QRDA Cat I file since denominator/numerator is not populated</w:t>
            </w:r>
          </w:p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440" w:type="dxa"/>
          </w:tcPr>
          <w:p w:rsidR="00B74106" w:rsidRDefault="00B2620C">
            <w:r>
              <w:t>3. QRDA Cat I - 3 Measures</w:t>
            </w:r>
          </w:p>
        </w:tc>
        <w:tc>
          <w:tcPr>
            <w:tcW w:w="1500" w:type="dxa"/>
          </w:tcPr>
          <w:p w:rsidR="00B74106" w:rsidRDefault="00495724">
            <w:pPr>
              <w:rPr>
                <w:b/>
                <w:bCs/>
                <w:color w:val="FF0000"/>
              </w:rPr>
            </w:pPr>
            <w:r w:rsidRPr="00B2620C">
              <w:rPr>
                <w:b/>
                <w:color w:val="F79646"/>
              </w:rPr>
              <w:t>Couldn’t validate</w:t>
            </w:r>
          </w:p>
        </w:tc>
        <w:tc>
          <w:tcPr>
            <w:tcW w:w="5636" w:type="dxa"/>
          </w:tcPr>
          <w:p w:rsidR="00B74106" w:rsidRDefault="00B2620C">
            <w:r>
              <w:t>Only 6 measures are tested. Remaining measures are not available.</w:t>
            </w:r>
          </w:p>
        </w:tc>
      </w:tr>
    </w:tbl>
    <w:p w:rsidR="00B74106" w:rsidRDefault="00B74106">
      <w:pPr>
        <w:rPr>
          <w:rFonts w:ascii="Cambria" w:hAnsi="Cambria"/>
          <w:b/>
          <w:bCs/>
          <w:color w:val="365F90"/>
          <w:sz w:val="28"/>
          <w:szCs w:val="28"/>
        </w:rPr>
      </w:pPr>
    </w:p>
    <w:p w:rsidR="00B74106" w:rsidRDefault="00B2620C" w:rsidP="00DF1F8C">
      <w:pPr>
        <w:pStyle w:val="Heading2"/>
        <w:rPr>
          <w:rStyle w:val="Heading2Char"/>
          <w:b/>
          <w:bCs/>
        </w:rPr>
      </w:pPr>
      <w:bookmarkStart w:id="6" w:name="_Toc448830106"/>
      <w:r w:rsidRPr="00DF1F8C">
        <w:rPr>
          <w:rStyle w:val="Heading2Char"/>
          <w:b/>
          <w:bCs/>
        </w:rPr>
        <w:t>170.314(g) (2) – Automated Measu</w:t>
      </w:r>
      <w:r w:rsidRPr="00DF1F8C">
        <w:rPr>
          <w:rStyle w:val="Heading2Char"/>
          <w:b/>
          <w:bCs/>
        </w:rPr>
        <w:t>re Calculation</w:t>
      </w:r>
      <w:bookmarkEnd w:id="6"/>
    </w:p>
    <w:p w:rsidR="00AF1362" w:rsidRPr="00AF1362" w:rsidRDefault="00AF1362" w:rsidP="00AF1362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2193"/>
        <w:gridCol w:w="4805"/>
      </w:tblGrid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rPr>
                <w:b/>
                <w:bCs/>
              </w:rPr>
              <w:t>Test procedure</w:t>
            </w:r>
          </w:p>
        </w:tc>
        <w:tc>
          <w:tcPr>
            <w:tcW w:w="2193" w:type="dxa"/>
          </w:tcPr>
          <w:p w:rsidR="00B74106" w:rsidRDefault="00B2620C">
            <w:r>
              <w:rPr>
                <w:b/>
                <w:bCs/>
              </w:rPr>
              <w:t>Status</w:t>
            </w:r>
          </w:p>
        </w:tc>
        <w:tc>
          <w:tcPr>
            <w:tcW w:w="4805" w:type="dxa"/>
          </w:tcPr>
          <w:p w:rsidR="00B74106" w:rsidRDefault="00B2620C">
            <w:r>
              <w:rPr>
                <w:b/>
                <w:bCs/>
              </w:rPr>
              <w:t>Comments</w:t>
            </w:r>
          </w:p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Problem list</w:t>
            </w:r>
          </w:p>
        </w:tc>
        <w:tc>
          <w:tcPr>
            <w:tcW w:w="2193" w:type="dxa"/>
          </w:tcPr>
          <w:p w:rsidR="00B74106" w:rsidRDefault="00B2620C">
            <w:r w:rsidRPr="00824531">
              <w:rPr>
                <w:b/>
                <w:bCs/>
                <w:color w:val="008000"/>
              </w:rPr>
              <w:t>PASS</w:t>
            </w:r>
          </w:p>
        </w:tc>
        <w:tc>
          <w:tcPr>
            <w:tcW w:w="4805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Medication list</w:t>
            </w:r>
          </w:p>
        </w:tc>
        <w:tc>
          <w:tcPr>
            <w:tcW w:w="2193" w:type="dxa"/>
          </w:tcPr>
          <w:p w:rsidR="00B74106" w:rsidRPr="00824531" w:rsidRDefault="00B2620C">
            <w:pPr>
              <w:rPr>
                <w:b/>
                <w:bCs/>
                <w:color w:val="008000"/>
              </w:rPr>
            </w:pPr>
            <w:r w:rsidRPr="00824531">
              <w:rPr>
                <w:b/>
                <w:bCs/>
                <w:color w:val="008000"/>
              </w:rPr>
              <w:t>PASS</w:t>
            </w:r>
          </w:p>
        </w:tc>
        <w:tc>
          <w:tcPr>
            <w:tcW w:w="4805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Medication allergy list</w:t>
            </w:r>
          </w:p>
        </w:tc>
        <w:tc>
          <w:tcPr>
            <w:tcW w:w="2193" w:type="dxa"/>
          </w:tcPr>
          <w:p w:rsidR="00B74106" w:rsidRPr="00824531" w:rsidRDefault="00B2620C">
            <w:pPr>
              <w:rPr>
                <w:b/>
                <w:bCs/>
                <w:color w:val="008000"/>
              </w:rPr>
            </w:pPr>
            <w:r w:rsidRPr="00824531">
              <w:rPr>
                <w:b/>
                <w:bCs/>
                <w:color w:val="008000"/>
              </w:rPr>
              <w:t>PASS</w:t>
            </w:r>
          </w:p>
        </w:tc>
        <w:tc>
          <w:tcPr>
            <w:tcW w:w="4805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CPOE</w:t>
            </w:r>
          </w:p>
        </w:tc>
        <w:tc>
          <w:tcPr>
            <w:tcW w:w="2193" w:type="dxa"/>
          </w:tcPr>
          <w:p w:rsidR="00B74106" w:rsidRPr="00B2620C" w:rsidRDefault="00B2620C">
            <w:pPr>
              <w:rPr>
                <w:b/>
                <w:color w:val="F79646"/>
              </w:rPr>
            </w:pPr>
            <w:r w:rsidRPr="00B2620C">
              <w:rPr>
                <w:b/>
                <w:color w:val="F79646"/>
              </w:rPr>
              <w:t>Couldn’t Validate</w:t>
            </w:r>
          </w:p>
        </w:tc>
        <w:tc>
          <w:tcPr>
            <w:tcW w:w="4805" w:type="dxa"/>
          </w:tcPr>
          <w:p w:rsidR="00B74106" w:rsidRDefault="004D1147">
            <w:r>
              <w:t>Feature yet to be done</w:t>
            </w:r>
          </w:p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E-Prescription</w:t>
            </w:r>
          </w:p>
        </w:tc>
        <w:tc>
          <w:tcPr>
            <w:tcW w:w="2193" w:type="dxa"/>
          </w:tcPr>
          <w:p w:rsidR="00B74106" w:rsidRPr="00B2620C" w:rsidRDefault="00B2620C">
            <w:pPr>
              <w:rPr>
                <w:b/>
                <w:color w:val="F79646"/>
              </w:rPr>
            </w:pPr>
            <w:r w:rsidRPr="00B2620C">
              <w:rPr>
                <w:b/>
                <w:color w:val="F79646"/>
              </w:rPr>
              <w:t>Couldn’t Validate</w:t>
            </w:r>
          </w:p>
        </w:tc>
        <w:tc>
          <w:tcPr>
            <w:tcW w:w="4805" w:type="dxa"/>
          </w:tcPr>
          <w:p w:rsidR="00B74106" w:rsidRDefault="004D1147">
            <w:r>
              <w:t>Demo instance not available</w:t>
            </w:r>
          </w:p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Demographics</w:t>
            </w:r>
          </w:p>
        </w:tc>
        <w:tc>
          <w:tcPr>
            <w:tcW w:w="2193" w:type="dxa"/>
          </w:tcPr>
          <w:p w:rsidR="00B74106" w:rsidRDefault="00B2620C">
            <w:r w:rsidRPr="00824531">
              <w:rPr>
                <w:b/>
                <w:bCs/>
                <w:color w:val="008000"/>
              </w:rPr>
              <w:t>PASS</w:t>
            </w:r>
          </w:p>
        </w:tc>
        <w:tc>
          <w:tcPr>
            <w:tcW w:w="4805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lastRenderedPageBreak/>
              <w:t>Vitals</w:t>
            </w:r>
          </w:p>
        </w:tc>
        <w:tc>
          <w:tcPr>
            <w:tcW w:w="2193" w:type="dxa"/>
          </w:tcPr>
          <w:p w:rsidR="00B74106" w:rsidRPr="00824531" w:rsidRDefault="00B2620C">
            <w:pPr>
              <w:rPr>
                <w:b/>
                <w:bCs/>
                <w:color w:val="008000"/>
              </w:rPr>
            </w:pPr>
            <w:r w:rsidRPr="00824531">
              <w:rPr>
                <w:b/>
                <w:bCs/>
                <w:color w:val="008000"/>
              </w:rPr>
              <w:t>PASS</w:t>
            </w:r>
          </w:p>
        </w:tc>
        <w:tc>
          <w:tcPr>
            <w:tcW w:w="4805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Smoking status</w:t>
            </w:r>
          </w:p>
        </w:tc>
        <w:tc>
          <w:tcPr>
            <w:tcW w:w="2193" w:type="dxa"/>
          </w:tcPr>
          <w:p w:rsidR="00B74106" w:rsidRPr="00824531" w:rsidRDefault="00B2620C">
            <w:pPr>
              <w:rPr>
                <w:b/>
                <w:bCs/>
                <w:color w:val="008000"/>
              </w:rPr>
            </w:pPr>
            <w:r w:rsidRPr="00824531">
              <w:rPr>
                <w:b/>
                <w:bCs/>
                <w:color w:val="008000"/>
              </w:rPr>
              <w:t>PASS</w:t>
            </w:r>
          </w:p>
        </w:tc>
        <w:tc>
          <w:tcPr>
            <w:tcW w:w="4805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Lab Results</w:t>
            </w:r>
          </w:p>
        </w:tc>
        <w:tc>
          <w:tcPr>
            <w:tcW w:w="2193" w:type="dxa"/>
          </w:tcPr>
          <w:p w:rsidR="00B74106" w:rsidRDefault="00B2620C">
            <w:r w:rsidRPr="00B2620C">
              <w:rPr>
                <w:b/>
                <w:color w:val="F79646"/>
              </w:rPr>
              <w:t>Couldn’t Validate</w:t>
            </w:r>
          </w:p>
        </w:tc>
        <w:tc>
          <w:tcPr>
            <w:tcW w:w="4805" w:type="dxa"/>
          </w:tcPr>
          <w:p w:rsidR="00B74106" w:rsidRDefault="004D1147">
            <w:r>
              <w:t>Demo instance not available</w:t>
            </w:r>
          </w:p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Patient Reminders</w:t>
            </w:r>
          </w:p>
        </w:tc>
        <w:tc>
          <w:tcPr>
            <w:tcW w:w="2193" w:type="dxa"/>
          </w:tcPr>
          <w:p w:rsidR="00B74106" w:rsidRDefault="00B2620C">
            <w:r w:rsidRPr="00824531">
              <w:rPr>
                <w:b/>
                <w:bCs/>
                <w:color w:val="008000"/>
              </w:rPr>
              <w:t>PASS</w:t>
            </w:r>
          </w:p>
        </w:tc>
        <w:tc>
          <w:tcPr>
            <w:tcW w:w="4805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View,</w:t>
            </w:r>
            <w:r w:rsidR="004D1147">
              <w:t xml:space="preserve"> </w:t>
            </w:r>
            <w:r>
              <w:t>download, transmit</w:t>
            </w:r>
          </w:p>
        </w:tc>
        <w:tc>
          <w:tcPr>
            <w:tcW w:w="2193" w:type="dxa"/>
          </w:tcPr>
          <w:p w:rsidR="00B74106" w:rsidRDefault="00B2620C">
            <w:r w:rsidRPr="00B2620C">
              <w:rPr>
                <w:b/>
                <w:color w:val="F79646"/>
              </w:rPr>
              <w:t>Couldn’t Validate</w:t>
            </w:r>
          </w:p>
        </w:tc>
        <w:tc>
          <w:tcPr>
            <w:tcW w:w="4805" w:type="dxa"/>
          </w:tcPr>
          <w:p w:rsidR="00B74106" w:rsidRDefault="004D1147">
            <w:r>
              <w:t>Feature yet to be done</w:t>
            </w:r>
          </w:p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Clinical Summary</w:t>
            </w:r>
          </w:p>
        </w:tc>
        <w:tc>
          <w:tcPr>
            <w:tcW w:w="2193" w:type="dxa"/>
          </w:tcPr>
          <w:p w:rsidR="00B74106" w:rsidRPr="00824531" w:rsidRDefault="00B2620C">
            <w:pPr>
              <w:rPr>
                <w:b/>
                <w:bCs/>
                <w:color w:val="008000"/>
              </w:rPr>
            </w:pPr>
            <w:r w:rsidRPr="00824531">
              <w:rPr>
                <w:b/>
                <w:bCs/>
                <w:color w:val="008000"/>
              </w:rPr>
              <w:t>PASS</w:t>
            </w:r>
          </w:p>
        </w:tc>
        <w:tc>
          <w:tcPr>
            <w:tcW w:w="4805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Patient Education</w:t>
            </w:r>
          </w:p>
        </w:tc>
        <w:tc>
          <w:tcPr>
            <w:tcW w:w="2193" w:type="dxa"/>
          </w:tcPr>
          <w:p w:rsidR="00B74106" w:rsidRPr="00824531" w:rsidRDefault="00B2620C">
            <w:pPr>
              <w:rPr>
                <w:b/>
                <w:bCs/>
                <w:color w:val="008000"/>
              </w:rPr>
            </w:pPr>
            <w:r w:rsidRPr="00824531">
              <w:rPr>
                <w:b/>
                <w:bCs/>
                <w:color w:val="008000"/>
              </w:rPr>
              <w:t>PASS</w:t>
            </w:r>
          </w:p>
        </w:tc>
        <w:tc>
          <w:tcPr>
            <w:tcW w:w="4805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Medication Reconciliation</w:t>
            </w:r>
          </w:p>
        </w:tc>
        <w:tc>
          <w:tcPr>
            <w:tcW w:w="2193" w:type="dxa"/>
          </w:tcPr>
          <w:p w:rsidR="00B74106" w:rsidRPr="00824531" w:rsidRDefault="00B2620C">
            <w:pPr>
              <w:rPr>
                <w:b/>
                <w:color w:val="FF0000"/>
              </w:rPr>
            </w:pPr>
            <w:r w:rsidRPr="00824531">
              <w:rPr>
                <w:b/>
                <w:color w:val="FF0000"/>
              </w:rPr>
              <w:t>FAIL</w:t>
            </w:r>
          </w:p>
        </w:tc>
        <w:tc>
          <w:tcPr>
            <w:tcW w:w="4805" w:type="dxa"/>
          </w:tcPr>
          <w:p w:rsidR="00B74106" w:rsidRDefault="00B2620C">
            <w:r>
              <w:t>Test case 1.2, 4.2 and 4.3 are not calculated as expected</w:t>
            </w:r>
          </w:p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Summary of care</w:t>
            </w:r>
          </w:p>
        </w:tc>
        <w:tc>
          <w:tcPr>
            <w:tcW w:w="2193" w:type="dxa"/>
          </w:tcPr>
          <w:p w:rsidR="00B74106" w:rsidRPr="00824531" w:rsidRDefault="00B2620C">
            <w:pPr>
              <w:rPr>
                <w:b/>
                <w:color w:val="FF0000"/>
              </w:rPr>
            </w:pPr>
            <w:r w:rsidRPr="00824531">
              <w:rPr>
                <w:b/>
                <w:color w:val="FF0000"/>
              </w:rPr>
              <w:t>FAIL</w:t>
            </w:r>
          </w:p>
        </w:tc>
        <w:tc>
          <w:tcPr>
            <w:tcW w:w="4805" w:type="dxa"/>
          </w:tcPr>
          <w:p w:rsidR="00B74106" w:rsidRDefault="00B2620C">
            <w:pPr>
              <w:numPr>
                <w:ilvl w:val="0"/>
                <w:numId w:val="1"/>
              </w:numPr>
            </w:pPr>
            <w:r>
              <w:t>Outside</w:t>
            </w:r>
            <w:r>
              <w:t xml:space="preserve"> reporting period referral transactions are calculated</w:t>
            </w:r>
          </w:p>
          <w:p w:rsidR="00B74106" w:rsidRDefault="00B2620C">
            <w:pPr>
              <w:numPr>
                <w:ilvl w:val="0"/>
                <w:numId w:val="1"/>
              </w:numPr>
            </w:pPr>
            <w:r>
              <w:t>Check on the existence (or not known record) of problem list, medication and allergy not performed</w:t>
            </w:r>
          </w:p>
          <w:p w:rsidR="00B74106" w:rsidRDefault="00B2620C">
            <w:pPr>
              <w:numPr>
                <w:ilvl w:val="0"/>
                <w:numId w:val="1"/>
              </w:numPr>
            </w:pPr>
            <w:r>
              <w:t>Couldn’t validate the electronic  transmission to NIST test tool</w:t>
            </w:r>
          </w:p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Secure Messaging</w:t>
            </w:r>
          </w:p>
        </w:tc>
        <w:tc>
          <w:tcPr>
            <w:tcW w:w="2193" w:type="dxa"/>
          </w:tcPr>
          <w:p w:rsidR="00B74106" w:rsidRPr="00B2620C" w:rsidRDefault="00B2620C">
            <w:pPr>
              <w:rPr>
                <w:b/>
                <w:color w:val="F79646"/>
              </w:rPr>
            </w:pPr>
            <w:r w:rsidRPr="00B2620C">
              <w:rPr>
                <w:b/>
                <w:color w:val="F79646"/>
              </w:rPr>
              <w:t>Couldn’t Validate</w:t>
            </w:r>
          </w:p>
        </w:tc>
        <w:tc>
          <w:tcPr>
            <w:tcW w:w="4805" w:type="dxa"/>
          </w:tcPr>
          <w:p w:rsidR="00B74106" w:rsidRDefault="00662335">
            <w:r>
              <w:t>Demo instance not available</w:t>
            </w:r>
            <w:bookmarkStart w:id="7" w:name="_GoBack"/>
            <w:bookmarkEnd w:id="7"/>
          </w:p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Imaging</w:t>
            </w:r>
          </w:p>
        </w:tc>
        <w:tc>
          <w:tcPr>
            <w:tcW w:w="2193" w:type="dxa"/>
          </w:tcPr>
          <w:p w:rsidR="00B74106" w:rsidRPr="00B2620C" w:rsidRDefault="00B2620C">
            <w:pPr>
              <w:rPr>
                <w:b/>
                <w:color w:val="F79646"/>
              </w:rPr>
            </w:pPr>
            <w:r w:rsidRPr="00B2620C">
              <w:rPr>
                <w:b/>
                <w:color w:val="F79646"/>
              </w:rPr>
              <w:t>Couldn’t Validate</w:t>
            </w:r>
          </w:p>
        </w:tc>
        <w:tc>
          <w:tcPr>
            <w:tcW w:w="4805" w:type="dxa"/>
          </w:tcPr>
          <w:p w:rsidR="00B74106" w:rsidRDefault="00662335">
            <w:r>
              <w:t>Feature yet to be done</w:t>
            </w:r>
          </w:p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Family History</w:t>
            </w:r>
          </w:p>
        </w:tc>
        <w:tc>
          <w:tcPr>
            <w:tcW w:w="2193" w:type="dxa"/>
          </w:tcPr>
          <w:p w:rsidR="00B74106" w:rsidRPr="00824531" w:rsidRDefault="00B2620C">
            <w:pPr>
              <w:rPr>
                <w:b/>
              </w:rPr>
            </w:pPr>
            <w:r w:rsidRPr="00824531">
              <w:rPr>
                <w:b/>
                <w:bCs/>
                <w:color w:val="008000"/>
              </w:rPr>
              <w:t>PASS</w:t>
            </w:r>
          </w:p>
        </w:tc>
        <w:tc>
          <w:tcPr>
            <w:tcW w:w="4805" w:type="dxa"/>
          </w:tcPr>
          <w:p w:rsidR="00B74106" w:rsidRDefault="00B74106"/>
        </w:tc>
      </w:tr>
      <w:tr w:rsidR="00B74106">
        <w:tblPrEx>
          <w:tblCellMar>
            <w:top w:w="0" w:type="dxa"/>
            <w:bottom w:w="0" w:type="dxa"/>
          </w:tblCellMar>
        </w:tblPrEx>
        <w:tc>
          <w:tcPr>
            <w:tcW w:w="2578" w:type="dxa"/>
          </w:tcPr>
          <w:p w:rsidR="00B74106" w:rsidRDefault="00B2620C">
            <w:r>
              <w:t>Electronic Notes</w:t>
            </w:r>
          </w:p>
        </w:tc>
        <w:tc>
          <w:tcPr>
            <w:tcW w:w="2193" w:type="dxa"/>
          </w:tcPr>
          <w:p w:rsidR="00B74106" w:rsidRDefault="00B2620C">
            <w:r w:rsidRPr="00824531">
              <w:rPr>
                <w:b/>
                <w:bCs/>
                <w:color w:val="008000"/>
              </w:rPr>
              <w:t>PASS</w:t>
            </w:r>
          </w:p>
        </w:tc>
        <w:tc>
          <w:tcPr>
            <w:tcW w:w="4805" w:type="dxa"/>
          </w:tcPr>
          <w:p w:rsidR="00B74106" w:rsidRDefault="00B74106"/>
        </w:tc>
      </w:tr>
    </w:tbl>
    <w:p w:rsidR="00B74106" w:rsidRDefault="00B74106">
      <w:pPr>
        <w:rPr>
          <w:rStyle w:val="Heading2Char"/>
        </w:rPr>
      </w:pPr>
    </w:p>
    <w:p w:rsidR="00B74106" w:rsidRDefault="00B74106">
      <w:pPr>
        <w:rPr>
          <w:rFonts w:ascii="Cambria" w:hAnsi="Cambria"/>
          <w:b/>
          <w:bCs/>
          <w:color w:val="365F90"/>
          <w:sz w:val="28"/>
          <w:szCs w:val="28"/>
        </w:rPr>
      </w:pPr>
    </w:p>
    <w:sectPr w:rsidR="00B7410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0C" w:rsidRDefault="00B2620C">
      <w:pPr>
        <w:spacing w:after="0" w:line="240" w:lineRule="auto"/>
      </w:pPr>
      <w:r>
        <w:separator/>
      </w:r>
    </w:p>
  </w:endnote>
  <w:endnote w:type="continuationSeparator" w:id="0">
    <w:p w:rsidR="00B2620C" w:rsidRDefault="00B2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ns-serif">
    <w:altName w:val="Arial Unicode MS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06" w:rsidRDefault="00B2620C">
    <w:pPr>
      <w:pStyle w:val="Footer"/>
      <w:jc w:val="center"/>
    </w:pPr>
    <w:r>
      <w:t>Version 1.0 (Apr 2016)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0C" w:rsidRDefault="00B2620C">
      <w:pPr>
        <w:spacing w:after="0" w:line="240" w:lineRule="auto"/>
      </w:pPr>
      <w:r>
        <w:separator/>
      </w:r>
    </w:p>
  </w:footnote>
  <w:footnote w:type="continuationSeparator" w:id="0">
    <w:p w:rsidR="00B2620C" w:rsidRDefault="00B2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06" w:rsidRDefault="00B2620C">
    <w:pPr>
      <w:pStyle w:val="Header"/>
    </w:pPr>
    <w:r>
      <w:rPr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style="position:absolute;margin-left:430.25pt;margin-top:-64.3pt;width:102.85pt;height:56.25pt;z-index:-1;mso-position-horizontal-relative:margin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5CE1C"/>
    <w:multiLevelType w:val="singleLevel"/>
    <w:tmpl w:val="5715CE1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106"/>
    <w:rsid w:val="000778D7"/>
    <w:rsid w:val="00173CC6"/>
    <w:rsid w:val="001B1FB6"/>
    <w:rsid w:val="0038456B"/>
    <w:rsid w:val="00495724"/>
    <w:rsid w:val="004D1147"/>
    <w:rsid w:val="00662335"/>
    <w:rsid w:val="00824531"/>
    <w:rsid w:val="008C689A"/>
    <w:rsid w:val="00AF1362"/>
    <w:rsid w:val="00B2620C"/>
    <w:rsid w:val="00B74106"/>
    <w:rsid w:val="00DF1F8C"/>
    <w:rsid w:val="00F21C99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5FC02C2-31F3-43B6-8EA0-161A2A7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Chars="200" w:left="420"/>
    </w:pPr>
  </w:style>
  <w:style w:type="paragraph" w:styleId="TOC3">
    <w:name w:val="toc 3"/>
    <w:basedOn w:val="Normal"/>
    <w:next w:val="Normal"/>
    <w:uiPriority w:val="39"/>
    <w:semiHidden/>
    <w:unhideWhenUsed/>
    <w:pPr>
      <w:ind w:leftChars="400" w:left="840"/>
    </w:pPr>
  </w:style>
  <w:style w:type="paragraph" w:styleId="TOC4">
    <w:name w:val="toc 4"/>
    <w:basedOn w:val="Normal"/>
    <w:next w:val="Normal"/>
    <w:uiPriority w:val="39"/>
    <w:semiHidden/>
    <w:unhideWhenUsed/>
    <w:pPr>
      <w:ind w:leftChars="600" w:left="1260"/>
    </w:pPr>
  </w:style>
  <w:style w:type="paragraph" w:styleId="TOC5">
    <w:name w:val="toc 5"/>
    <w:basedOn w:val="Normal"/>
    <w:next w:val="Normal"/>
    <w:uiPriority w:val="39"/>
    <w:semiHidden/>
    <w:unhideWhenUsed/>
    <w:pPr>
      <w:ind w:leftChars="800" w:left="1680"/>
    </w:pPr>
  </w:style>
  <w:style w:type="paragraph" w:styleId="TOC6">
    <w:name w:val="toc 6"/>
    <w:basedOn w:val="Normal"/>
    <w:next w:val="Normal"/>
    <w:uiPriority w:val="39"/>
    <w:semiHidden/>
    <w:unhideWhenUsed/>
    <w:pPr>
      <w:ind w:leftChars="1000" w:left="2100"/>
    </w:pPr>
  </w:style>
  <w:style w:type="paragraph" w:styleId="TOC7">
    <w:name w:val="toc 7"/>
    <w:basedOn w:val="Normal"/>
    <w:next w:val="Normal"/>
    <w:uiPriority w:val="39"/>
    <w:semiHidden/>
    <w:unhideWhenUsed/>
    <w:pPr>
      <w:ind w:leftChars="1200" w:left="2520"/>
    </w:pPr>
  </w:style>
  <w:style w:type="paragraph" w:styleId="TOC8">
    <w:name w:val="toc 8"/>
    <w:basedOn w:val="Normal"/>
    <w:next w:val="Normal"/>
    <w:uiPriority w:val="39"/>
    <w:semiHidden/>
    <w:unhideWhenUsed/>
    <w:pPr>
      <w:ind w:leftChars="1400" w:left="2940"/>
    </w:pPr>
  </w:style>
  <w:style w:type="paragraph" w:styleId="TOC9">
    <w:name w:val="toc 9"/>
    <w:basedOn w:val="Normal"/>
    <w:next w:val="Normal"/>
    <w:uiPriority w:val="39"/>
    <w:semiHidden/>
    <w:unhideWhenUsed/>
    <w:pPr>
      <w:ind w:leftChars="1600" w:left="336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0"/>
      <w:sz w:val="28"/>
      <w:szCs w:val="28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link w:val="Heading2"/>
    <w:uiPriority w:val="9"/>
    <w:rPr>
      <w:rFonts w:ascii="Cambria" w:hAnsi="Cambria"/>
      <w:b/>
      <w:bCs/>
      <w:color w:val="4F81BD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F1362"/>
    <w:pPr>
      <w:spacing w:before="240" w:line="259" w:lineRule="auto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penemr.support@visolv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9D07E-A93A-4131-9597-9B006EDF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MU2 Gap Analysis for 3 features in OpenEMR </vt:lpstr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MU2 Gap Analysis for 3 features in OpenEMR </dc:title>
  <dc:creator>Sathya</dc:creator>
  <cp:lastModifiedBy>sathya</cp:lastModifiedBy>
  <cp:revision>12</cp:revision>
  <dcterms:created xsi:type="dcterms:W3CDTF">2013-08-02T05:13:00Z</dcterms:created>
  <dcterms:modified xsi:type="dcterms:W3CDTF">2016-04-19T06:36:00Z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